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64CF1" w:rsidRPr="006B182F" w:rsidP="00164CF1" w14:paraId="1261388C" w14:textId="77777777">
      <w:pPr>
        <w:tabs>
          <w:tab w:val="left" w:pos="3569"/>
        </w:tabs>
        <w:spacing w:before="0"/>
        <w:jc w:val="center"/>
        <w:rPr>
          <w:rFonts w:ascii="Tahoma" w:hAnsi="Tahoma" w:cs="Tahoma"/>
          <w:b/>
          <w:color w:val="000000" w:themeColor="text1"/>
          <w:sz w:val="20"/>
          <w:szCs w:val="20"/>
        </w:rPr>
      </w:pPr>
    </w:p>
    <w:p w:rsidR="00164CF1" w:rsidRPr="006B182F" w:rsidP="00164CF1" w14:paraId="76369C93" w14:textId="77777777">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35.HAFTA</w:t>
      </w:r>
      <w:r w:rsidRPr="006B182F">
        <w:rPr>
          <w:rFonts w:ascii="Andika" w:hAnsi="Andika" w:cs="Andika"/>
          <w:b/>
          <w:color w:val="FF0000"/>
          <w:sz w:val="20"/>
          <w:szCs w:val="20"/>
        </w:rPr>
        <w:t>)</w:t>
      </w:r>
      <w:r>
        <w:rPr>
          <w:rFonts w:ascii="Andika" w:hAnsi="Andika" w:cs="Andika"/>
          <w:b/>
          <w:color w:val="FF0000"/>
          <w:sz w:val="20"/>
          <w:szCs w:val="20"/>
        </w:rPr>
        <w:t xml:space="preserve">                                                                                                                                                                  </w:t>
      </w:r>
      <w:r w:rsidR="00FB75C0">
        <w:rPr>
          <w:rFonts w:ascii="Andika" w:hAnsi="Andika" w:cs="Andika"/>
          <w:b/>
          <w:color w:val="000000" w:themeColor="text1"/>
          <w:sz w:val="20"/>
          <w:szCs w:val="20"/>
        </w:rPr>
        <w:t>07-11</w:t>
      </w:r>
      <w:r>
        <w:rPr>
          <w:rFonts w:ascii="Andika" w:hAnsi="Andika" w:cs="Andika"/>
          <w:b/>
          <w:color w:val="000000" w:themeColor="text1"/>
          <w:sz w:val="20"/>
          <w:szCs w:val="20"/>
        </w:rPr>
        <w:t xml:space="preserve"> HAZİRAN </w:t>
      </w:r>
      <w:r w:rsidR="00EC0C68">
        <w:rPr>
          <w:rFonts w:ascii="Andika" w:hAnsi="Andika" w:cs="Andika"/>
          <w:b/>
          <w:color w:val="000000" w:themeColor="text1"/>
          <w:sz w:val="20"/>
          <w:szCs w:val="20"/>
        </w:rPr>
        <w:t>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EC0C6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164CF1" w:rsidRPr="006B182F" w:rsidP="00EC0C68" w14:paraId="7D36B495"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164CF1" w:rsidRPr="006B182F" w:rsidP="00EC0C68" w14:paraId="14B8F17A"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EC0C6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164CF1" w:rsidRPr="006B182F" w:rsidP="00EC0C68" w14:paraId="34B2E08C"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164CF1" w:rsidRPr="006B182F" w:rsidP="00EC0C68" w14:paraId="30D627B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EC0C6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164CF1" w:rsidRPr="006B182F" w:rsidP="00EC0C68" w14:paraId="6F697589"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164CF1" w:rsidRPr="006B182F" w:rsidP="00EC0C68" w14:paraId="018CC42C"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EC0C6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164CF1" w:rsidRPr="006B182F" w:rsidP="00EC0C68" w14:paraId="1BE4DD6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164CF1" w:rsidRPr="006B182F" w:rsidP="00EC0C68" w14:paraId="7EA1786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Sanat Eleştirisi ve Estetik</w:t>
            </w:r>
          </w:p>
        </w:tc>
      </w:tr>
      <w:tr w:rsidTr="00EC0C6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164CF1" w:rsidRPr="006B182F" w:rsidP="00EC0C68" w14:paraId="7A83D6EE"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164CF1" w:rsidRPr="006B182F" w:rsidP="00EC0C68" w14:paraId="3794CE15"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Haydi, Farklı Anlatalım</w:t>
            </w:r>
          </w:p>
        </w:tc>
      </w:tr>
    </w:tbl>
    <w:p w:rsidR="00164CF1" w:rsidRPr="006B182F" w:rsidP="00164CF1" w14:paraId="3E9245E3"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EC0C68">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164CF1" w:rsidRPr="006B182F" w:rsidP="00EC0C68" w14:paraId="387BB9DE"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64CF1" w:rsidRPr="006B182F" w:rsidP="00EC0C68" w14:paraId="2262113E" w14:textId="77777777">
            <w:pPr>
              <w:rPr>
                <w:rFonts w:ascii="Tahoma" w:hAnsi="Tahoma" w:cs="Tahoma"/>
                <w:color w:val="000000" w:themeColor="text1"/>
                <w:sz w:val="20"/>
                <w:szCs w:val="20"/>
              </w:rPr>
            </w:pPr>
            <w:r w:rsidRPr="006B182F">
              <w:rPr>
                <w:rFonts w:ascii="Tahoma" w:hAnsi="Tahoma" w:cs="Tahoma"/>
                <w:color w:val="000000" w:themeColor="text1"/>
                <w:sz w:val="20"/>
                <w:szCs w:val="20"/>
              </w:rPr>
              <w:t>G.4.3.3. Estetik tercihlerin kişilere göre nasıl değiştiğini ifade eder.</w:t>
            </w:r>
          </w:p>
        </w:tc>
      </w:tr>
      <w:tr w:rsidTr="00EC0C68">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164CF1" w:rsidRPr="006B182F" w:rsidP="00EC0C68" w14:paraId="1E624483"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164CF1" w:rsidRPr="006B182F" w:rsidP="00EC0C68" w14:paraId="1936CB52"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64CF1" w:rsidRPr="006B182F" w:rsidP="00EC0C68" w14:paraId="07B6D778"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EC0C68">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164CF1" w:rsidRPr="006B182F" w:rsidP="00EC0C68" w14:paraId="5FC1D75C"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64CF1" w:rsidRPr="006B182F" w:rsidP="00EC0C68" w14:paraId="0F6F9C71" w14:textId="77777777">
            <w:pPr>
              <w:rPr>
                <w:rFonts w:ascii="Tahoma" w:hAnsi="Tahoma" w:cs="Tahoma"/>
                <w:color w:val="000000" w:themeColor="text1"/>
                <w:sz w:val="20"/>
                <w:szCs w:val="20"/>
              </w:rPr>
            </w:pPr>
            <w:r w:rsidRPr="006B182F">
              <w:rPr>
                <w:rFonts w:ascii="Tahoma" w:hAnsi="Tahoma" w:cs="Tahoma"/>
                <w:color w:val="000000" w:themeColor="text1"/>
                <w:sz w:val="20"/>
                <w:szCs w:val="20"/>
              </w:rPr>
              <w:t xml:space="preserve"> Görsel sanat defteri, internet</w:t>
            </w:r>
          </w:p>
        </w:tc>
      </w:tr>
      <w:tr w:rsidTr="00EC0C68">
        <w:tblPrEx>
          <w:tblW w:w="10125" w:type="dxa"/>
          <w:tblLayout w:type="fixed"/>
          <w:tblLook w:val="0000"/>
        </w:tblPrEx>
        <w:trPr>
          <w:trHeight w:val="571"/>
        </w:trPr>
        <w:tc>
          <w:tcPr>
            <w:tcW w:w="2821" w:type="dxa"/>
            <w:tcBorders>
              <w:left w:val="single" w:sz="8" w:space="0" w:color="auto"/>
            </w:tcBorders>
            <w:vAlign w:val="center"/>
          </w:tcPr>
          <w:p w:rsidR="00164CF1" w:rsidRPr="006B182F" w:rsidP="00EC0C68" w14:paraId="246869FB"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164CF1" w:rsidRPr="006B182F" w:rsidP="00EC0C68" w14:paraId="1AE13712"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EC0C68">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64CF1" w:rsidRPr="006B182F" w:rsidP="00EC0C68" w14:paraId="565DC28E"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EC0C68">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64CF1" w:rsidRPr="006B182F" w:rsidP="00164CF1" w14:paraId="3B03640A" w14:textId="77777777">
            <w:pPr>
              <w:pStyle w:val="ListParagraph"/>
              <w:numPr>
                <w:ilvl w:val="0"/>
                <w:numId w:val="2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rsidR="00164CF1" w:rsidRPr="006B182F" w:rsidP="00164CF1" w14:paraId="507366D5" w14:textId="77777777">
            <w:pPr>
              <w:pStyle w:val="ListParagraph"/>
              <w:numPr>
                <w:ilvl w:val="0"/>
                <w:numId w:val="2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Aynı konudan yola çıkılmış olmasına rağmen, uygulama sonrasında çalışmalarında kullanılan farklı teknik ve anlatım biçimleri sorgulanır.</w:t>
            </w:r>
          </w:p>
        </w:tc>
      </w:tr>
    </w:tbl>
    <w:p w:rsidR="00164CF1" w:rsidRPr="006B182F" w:rsidP="00164CF1" w14:paraId="64820912" w14:textId="77777777">
      <w:pPr>
        <w:pStyle w:val="Heading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EC0C68">
        <w:tblPrEx>
          <w:tblW w:w="10168" w:type="dxa"/>
          <w:tblLayout w:type="fixed"/>
          <w:tblLook w:val="0000"/>
        </w:tblPrEx>
        <w:tc>
          <w:tcPr>
            <w:tcW w:w="2817" w:type="dxa"/>
            <w:tcBorders>
              <w:top w:val="single" w:sz="8" w:space="0" w:color="auto"/>
              <w:left w:val="single" w:sz="8" w:space="0" w:color="auto"/>
              <w:bottom w:val="single" w:sz="8" w:space="0" w:color="auto"/>
            </w:tcBorders>
            <w:vAlign w:val="center"/>
          </w:tcPr>
          <w:p w:rsidR="00164CF1" w:rsidRPr="006B182F" w:rsidP="00EC0C68" w14:paraId="4A942336"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164CF1" w:rsidRPr="006B182F" w:rsidP="00EC0C68" w14:paraId="3CFC4B49"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64CF1" w:rsidRPr="006B182F" w:rsidP="00EC0C68" w14:paraId="4CA4FCAA"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164CF1" w:rsidRPr="006B182F" w:rsidP="00EC0C68" w14:paraId="73DCA7D0"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164CF1" w:rsidRPr="006B182F" w:rsidP="00164CF1" w14:paraId="33D3B178" w14:textId="77777777">
      <w:pPr>
        <w:pStyle w:val="Heading6"/>
        <w:ind w:firstLine="180"/>
        <w:rPr>
          <w:rFonts w:ascii="Tahoma" w:hAnsi="Tahoma" w:cs="Tahoma"/>
          <w:color w:val="000000" w:themeColor="text1"/>
          <w:sz w:val="20"/>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EC0C68">
        <w:tblPrEx>
          <w:tblW w:w="10201" w:type="dxa"/>
          <w:tblLayout w:type="fixed"/>
          <w:tblLook w:val="0000"/>
        </w:tblPrEx>
        <w:tc>
          <w:tcPr>
            <w:tcW w:w="2834" w:type="dxa"/>
            <w:tcBorders>
              <w:top w:val="single" w:sz="8" w:space="0" w:color="auto"/>
              <w:left w:val="single" w:sz="8" w:space="0" w:color="auto"/>
              <w:bottom w:val="single" w:sz="8" w:space="0" w:color="auto"/>
            </w:tcBorders>
            <w:vAlign w:val="center"/>
          </w:tcPr>
          <w:p w:rsidR="00164CF1" w:rsidRPr="006B182F" w:rsidP="00EC0C68" w14:paraId="1AF88FC3"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164CF1" w:rsidRPr="006B182F" w:rsidP="00EC0C68" w14:paraId="765489B7"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164CF1" w:rsidRPr="006B182F" w:rsidP="00EC0C68" w14:paraId="1088DEFB" w14:textId="77777777">
            <w:pPr>
              <w:rPr>
                <w:rFonts w:ascii="Tahoma" w:hAnsi="Tahoma" w:cs="Tahoma"/>
                <w:color w:val="000000" w:themeColor="text1"/>
                <w:sz w:val="20"/>
                <w:szCs w:val="20"/>
              </w:rPr>
            </w:pPr>
            <w:r w:rsidRPr="006B182F">
              <w:rPr>
                <w:rFonts w:ascii="Tahoma" w:hAnsi="Tahoma" w:cs="Tahoma"/>
                <w:color w:val="000000" w:themeColor="text1"/>
                <w:sz w:val="20"/>
                <w:szCs w:val="20"/>
              </w:rPr>
              <w:t>Kazanımla ilgili değerler üzerinde durulmalıdır.</w:t>
            </w:r>
          </w:p>
        </w:tc>
      </w:tr>
    </w:tbl>
    <w:p w:rsidR="00164CF1" w:rsidRPr="006B182F" w:rsidP="00164CF1" w14:paraId="77002748" w14:textId="77777777">
      <w:pPr>
        <w:tabs>
          <w:tab w:val="left" w:pos="3569"/>
        </w:tabs>
        <w:jc w:val="cente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164CF1" w:rsidRPr="006B182F" w:rsidP="00164CF1" w14:paraId="472B571E" w14:textId="77777777">
      <w:pPr>
        <w:rPr>
          <w:rFonts w:ascii="Tahoma" w:hAnsi="Tahoma" w:cs="Tahoma"/>
          <w:b/>
          <w:color w:val="000000" w:themeColor="text1"/>
          <w:sz w:val="20"/>
          <w:szCs w:val="20"/>
        </w:rPr>
      </w:pPr>
    </w:p>
    <w:p w:rsidR="00164CF1" w:rsidRPr="006B182F" w:rsidP="00164CF1" w14:paraId="4AFF8CEC" w14:textId="77777777">
      <w:pPr>
        <w:rPr>
          <w:rFonts w:ascii="Tahoma" w:hAnsi="Tahoma" w:cs="Tahoma"/>
          <w:b/>
          <w:color w:val="000000" w:themeColor="text1"/>
          <w:sz w:val="20"/>
          <w:szCs w:val="20"/>
        </w:rPr>
      </w:pPr>
    </w:p>
    <w:p w:rsidR="00164CF1" w:rsidRPr="006B182F" w:rsidP="00164CF1" w14:paraId="6C8D09C1" w14:textId="77777777">
      <w:pPr>
        <w:rPr>
          <w:rFonts w:ascii="Tahoma" w:hAnsi="Tahoma" w:cs="Tahoma"/>
          <w:b/>
          <w:color w:val="000000" w:themeColor="text1"/>
          <w:sz w:val="20"/>
          <w:szCs w:val="20"/>
        </w:rPr>
      </w:pPr>
    </w:p>
    <w:p w:rsidR="00164CF1" w:rsidRPr="006B182F" w:rsidP="00164CF1" w14:paraId="095333DA" w14:textId="77777777">
      <w:pPr>
        <w:rPr>
          <w:rFonts w:ascii="Tahoma" w:hAnsi="Tahoma" w:cs="Tahoma"/>
          <w:b/>
          <w:color w:val="000000" w:themeColor="text1"/>
          <w:sz w:val="20"/>
          <w:szCs w:val="20"/>
        </w:rPr>
      </w:pPr>
    </w:p>
    <w:p w:rsidR="00E05C84" w:rsidRPr="006B182F" w:rsidP="006B182F" w14:paraId="0B06B040" w14:textId="77777777">
      <w:pPr>
        <w:rPr>
          <w:rFonts w:ascii="Tahoma" w:hAnsi="Tahoma" w:cs="Tahoma"/>
          <w:b/>
          <w:color w:val="000000" w:themeColor="text1"/>
          <w:sz w:val="20"/>
          <w:szCs w:val="20"/>
        </w:rPr>
      </w:pPr>
    </w:p>
    <w:p w:rsidR="00E05C84" w:rsidRPr="006B182F" w:rsidP="006B182F" w14:paraId="699FF340" w14:textId="77777777">
      <w:pPr>
        <w:rPr>
          <w:rFonts w:ascii="Tahoma" w:hAnsi="Tahoma" w:cs="Tahoma"/>
          <w:b/>
          <w:color w:val="000000" w:themeColor="text1"/>
          <w:sz w:val="20"/>
          <w:szCs w:val="20"/>
        </w:rPr>
      </w:pPr>
    </w:p>
    <w:p w:rsidR="00E05C84" w:rsidRPr="006B182F" w:rsidP="006B182F" w14:paraId="39EFB97E" w14:textId="77777777">
      <w:pPr>
        <w:rPr>
          <w:rFonts w:ascii="Tahoma" w:hAnsi="Tahoma" w:cs="Tahoma"/>
          <w:b/>
          <w:color w:val="000000" w:themeColor="text1"/>
          <w:sz w:val="20"/>
          <w:szCs w:val="20"/>
        </w:rPr>
      </w:pPr>
    </w:p>
    <w:p w:rsidR="00E05C84" w:rsidP="006B182F" w14:paraId="67F128FB" w14:textId="77777777">
      <w:pPr>
        <w:rPr>
          <w:rFonts w:ascii="Tahoma" w:hAnsi="Tahoma" w:cs="Tahoma"/>
          <w:b/>
          <w:color w:val="000000" w:themeColor="text1"/>
          <w:sz w:val="20"/>
          <w:szCs w:val="20"/>
        </w:rPr>
      </w:pPr>
    </w:p>
    <w:p w:rsidR="00164CF1" w:rsidP="006B182F" w14:paraId="19D45F19"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